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A4C70" w14:textId="1144C325" w:rsidR="009A00BB" w:rsidRDefault="009A00BB" w:rsidP="009A00BB">
      <w:pPr>
        <w:rPr>
          <w:rFonts w:ascii="Garamond" w:hAnsi="Garamond"/>
          <w:sz w:val="24"/>
          <w:szCs w:val="24"/>
        </w:rPr>
      </w:pPr>
      <w:r w:rsidRPr="00E75E0D">
        <w:rPr>
          <w:rFonts w:ascii="Garamond" w:hAnsi="Garamond"/>
          <w:sz w:val="24"/>
          <w:szCs w:val="24"/>
        </w:rPr>
        <w:t xml:space="preserve">Process tracing activity: </w:t>
      </w:r>
      <w:r>
        <w:rPr>
          <w:rFonts w:ascii="Garamond" w:hAnsi="Garamond"/>
          <w:sz w:val="24"/>
          <w:szCs w:val="24"/>
        </w:rPr>
        <w:t>Political Science</w:t>
      </w:r>
      <w:r w:rsidRPr="00E75E0D">
        <w:rPr>
          <w:rFonts w:ascii="Garamond" w:hAnsi="Garamond"/>
          <w:sz w:val="24"/>
          <w:szCs w:val="24"/>
        </w:rPr>
        <w:t xml:space="preserve"> and the </w:t>
      </w:r>
      <w:r>
        <w:rPr>
          <w:rFonts w:ascii="Garamond" w:hAnsi="Garamond"/>
          <w:sz w:val="24"/>
          <w:szCs w:val="24"/>
        </w:rPr>
        <w:t>impact of Calling the Election on Turnout in the Florida panhandle, 2000 Presidential Election</w:t>
      </w:r>
    </w:p>
    <w:p w14:paraId="15FF1219" w14:textId="756610A3" w:rsidR="009A00BB" w:rsidRDefault="009A00BB" w:rsidP="009A00BB">
      <w:pPr>
        <w:rPr>
          <w:rFonts w:ascii="Garamond" w:hAnsi="Garamond"/>
          <w:sz w:val="24"/>
          <w:szCs w:val="24"/>
        </w:rPr>
      </w:pPr>
    </w:p>
    <w:p w14:paraId="679928F6" w14:textId="4D10929E" w:rsidR="009A00BB" w:rsidRDefault="009A00BB" w:rsidP="009A00BB">
      <w:pPr>
        <w:rPr>
          <w:rFonts w:ascii="Garamond" w:hAnsi="Garamond"/>
          <w:sz w:val="24"/>
          <w:szCs w:val="24"/>
        </w:rPr>
      </w:pPr>
      <w:r>
        <w:rPr>
          <w:rFonts w:ascii="Garamond" w:hAnsi="Garamond"/>
          <w:sz w:val="24"/>
          <w:szCs w:val="24"/>
        </w:rPr>
        <w:t xml:space="preserve">Summary: During the presidential election of 2000, major media outlets called the Florida election for Al Gore, despite the race being to close to call and ultimately going to George W. Bush. Political commentator John R Lott wrote in the </w:t>
      </w:r>
      <w:r>
        <w:rPr>
          <w:rFonts w:ascii="Garamond" w:hAnsi="Garamond"/>
          <w:i/>
          <w:iCs/>
          <w:sz w:val="24"/>
          <w:szCs w:val="24"/>
        </w:rPr>
        <w:t xml:space="preserve">Philadelphia Inquirer </w:t>
      </w:r>
      <w:r>
        <w:rPr>
          <w:rFonts w:ascii="Garamond" w:hAnsi="Garamond"/>
          <w:sz w:val="24"/>
          <w:szCs w:val="24"/>
        </w:rPr>
        <w:t xml:space="preserve">and a Cato Institute Report that the early call for Gore cost Bush ~17,000 votes in the Florida panhandle, which still had an additional hour of voting left, given that the panhandle is in a different time zone from the rest of the state. Lott found these results using a quantitative technique called “difference-in-differences” regression analysis. Given the following claims, documents, and evidence, please conduct the following: </w:t>
      </w:r>
    </w:p>
    <w:p w14:paraId="0FD58926" w14:textId="0DFB30CD" w:rsidR="009A00BB" w:rsidRDefault="009A00BB" w:rsidP="009A00BB">
      <w:pPr>
        <w:rPr>
          <w:rFonts w:ascii="Garamond" w:hAnsi="Garamond"/>
          <w:sz w:val="24"/>
          <w:szCs w:val="24"/>
        </w:rPr>
      </w:pPr>
    </w:p>
    <w:p w14:paraId="7CB5B500" w14:textId="41D64660" w:rsidR="0052311A" w:rsidRDefault="0052311A" w:rsidP="0052311A">
      <w:pPr>
        <w:pStyle w:val="ListParagraph"/>
        <w:numPr>
          <w:ilvl w:val="0"/>
          <w:numId w:val="1"/>
        </w:numPr>
        <w:spacing w:line="480" w:lineRule="auto"/>
        <w:rPr>
          <w:rFonts w:ascii="Garamond" w:hAnsi="Garamond"/>
          <w:sz w:val="24"/>
          <w:szCs w:val="24"/>
        </w:rPr>
      </w:pPr>
      <w:r>
        <w:rPr>
          <w:rFonts w:ascii="Garamond" w:hAnsi="Garamond"/>
          <w:sz w:val="24"/>
          <w:szCs w:val="24"/>
        </w:rPr>
        <w:t>Who appear to be the primary agents/actors</w:t>
      </w:r>
      <w:r>
        <w:rPr>
          <w:rFonts w:ascii="Garamond" w:hAnsi="Garamond"/>
          <w:sz w:val="24"/>
          <w:szCs w:val="24"/>
        </w:rPr>
        <w:t>/institutions</w:t>
      </w:r>
      <w:r>
        <w:rPr>
          <w:rFonts w:ascii="Garamond" w:hAnsi="Garamond"/>
          <w:sz w:val="24"/>
          <w:szCs w:val="24"/>
        </w:rPr>
        <w:t xml:space="preserve"> within the scenario</w:t>
      </w:r>
      <w:r>
        <w:rPr>
          <w:rFonts w:ascii="Garamond" w:hAnsi="Garamond"/>
          <w:sz w:val="24"/>
          <w:szCs w:val="24"/>
        </w:rPr>
        <w:t xml:space="preserve"> presented by Lott</w:t>
      </w:r>
      <w:r>
        <w:rPr>
          <w:rFonts w:ascii="Garamond" w:hAnsi="Garamond"/>
          <w:sz w:val="24"/>
          <w:szCs w:val="24"/>
        </w:rPr>
        <w:t xml:space="preserve">? </w:t>
      </w:r>
    </w:p>
    <w:p w14:paraId="3EC105C8" w14:textId="77777777" w:rsidR="0052311A" w:rsidRDefault="0052311A" w:rsidP="0052311A">
      <w:pPr>
        <w:pStyle w:val="ListParagraph"/>
        <w:numPr>
          <w:ilvl w:val="0"/>
          <w:numId w:val="1"/>
        </w:numPr>
        <w:spacing w:line="480" w:lineRule="auto"/>
        <w:rPr>
          <w:rFonts w:ascii="Garamond" w:hAnsi="Garamond"/>
          <w:sz w:val="24"/>
          <w:szCs w:val="24"/>
        </w:rPr>
      </w:pPr>
      <w:r>
        <w:rPr>
          <w:rFonts w:ascii="Garamond" w:hAnsi="Garamond"/>
          <w:sz w:val="24"/>
          <w:szCs w:val="24"/>
        </w:rPr>
        <w:t xml:space="preserve">What </w:t>
      </w:r>
      <w:r>
        <w:rPr>
          <w:rFonts w:ascii="Garamond" w:hAnsi="Garamond"/>
          <w:sz w:val="24"/>
          <w:szCs w:val="24"/>
        </w:rPr>
        <w:t xml:space="preserve">assumptions does Lott make in his analysis? </w:t>
      </w:r>
    </w:p>
    <w:p w14:paraId="7A4D4BDF" w14:textId="314FB8F8" w:rsidR="0052311A" w:rsidRPr="0052311A" w:rsidRDefault="0052311A" w:rsidP="0052311A">
      <w:pPr>
        <w:pStyle w:val="ListParagraph"/>
        <w:numPr>
          <w:ilvl w:val="1"/>
          <w:numId w:val="1"/>
        </w:numPr>
        <w:spacing w:line="480" w:lineRule="auto"/>
        <w:rPr>
          <w:rFonts w:ascii="Garamond" w:hAnsi="Garamond"/>
          <w:sz w:val="24"/>
          <w:szCs w:val="24"/>
        </w:rPr>
      </w:pPr>
      <w:r>
        <w:rPr>
          <w:rFonts w:ascii="Garamond" w:hAnsi="Garamond"/>
          <w:sz w:val="24"/>
          <w:szCs w:val="24"/>
        </w:rPr>
        <w:t xml:space="preserve">What data are used to </w:t>
      </w:r>
      <w:proofErr w:type="gramStart"/>
      <w:r>
        <w:rPr>
          <w:rFonts w:ascii="Garamond" w:hAnsi="Garamond"/>
          <w:sz w:val="24"/>
          <w:szCs w:val="24"/>
        </w:rPr>
        <w:t>come to the conclusion</w:t>
      </w:r>
      <w:proofErr w:type="gramEnd"/>
      <w:r>
        <w:rPr>
          <w:rFonts w:ascii="Garamond" w:hAnsi="Garamond"/>
          <w:sz w:val="24"/>
          <w:szCs w:val="24"/>
        </w:rPr>
        <w:t xml:space="preserve"> that he reached?</w:t>
      </w:r>
      <w:r>
        <w:rPr>
          <w:rFonts w:ascii="Garamond" w:hAnsi="Garamond"/>
          <w:sz w:val="24"/>
          <w:szCs w:val="24"/>
        </w:rPr>
        <w:t xml:space="preserve"> </w:t>
      </w:r>
      <w:r w:rsidRPr="0052311A">
        <w:rPr>
          <w:rFonts w:ascii="Garamond" w:hAnsi="Garamond"/>
          <w:sz w:val="24"/>
          <w:szCs w:val="24"/>
        </w:rPr>
        <w:t xml:space="preserve"> </w:t>
      </w:r>
    </w:p>
    <w:p w14:paraId="0264A4C0" w14:textId="3660086D" w:rsidR="0052311A" w:rsidRDefault="0052311A" w:rsidP="0052311A">
      <w:pPr>
        <w:pStyle w:val="ListParagraph"/>
        <w:numPr>
          <w:ilvl w:val="0"/>
          <w:numId w:val="1"/>
        </w:numPr>
        <w:spacing w:line="480" w:lineRule="auto"/>
        <w:rPr>
          <w:rFonts w:ascii="Garamond" w:hAnsi="Garamond"/>
          <w:sz w:val="24"/>
          <w:szCs w:val="24"/>
        </w:rPr>
      </w:pPr>
      <w:r>
        <w:rPr>
          <w:rFonts w:ascii="Garamond" w:hAnsi="Garamond"/>
          <w:sz w:val="24"/>
          <w:szCs w:val="24"/>
        </w:rPr>
        <w:t>Draw out the sequence/chain of events</w:t>
      </w:r>
      <w:r>
        <w:rPr>
          <w:rFonts w:ascii="Garamond" w:hAnsi="Garamond"/>
          <w:sz w:val="24"/>
          <w:szCs w:val="24"/>
        </w:rPr>
        <w:t xml:space="preserve"> according to</w:t>
      </w:r>
      <w:r>
        <w:rPr>
          <w:rFonts w:ascii="Garamond" w:hAnsi="Garamond"/>
          <w:sz w:val="24"/>
          <w:szCs w:val="24"/>
        </w:rPr>
        <w:t xml:space="preserve"> </w:t>
      </w:r>
      <w:r>
        <w:rPr>
          <w:rFonts w:ascii="Garamond" w:hAnsi="Garamond"/>
          <w:sz w:val="24"/>
          <w:szCs w:val="24"/>
        </w:rPr>
        <w:t xml:space="preserve">Lott’s argument </w:t>
      </w:r>
    </w:p>
    <w:p w14:paraId="1D3005E8" w14:textId="3179A0AE" w:rsidR="0052311A" w:rsidRDefault="0052311A" w:rsidP="0052311A">
      <w:pPr>
        <w:pStyle w:val="ListParagraph"/>
        <w:numPr>
          <w:ilvl w:val="1"/>
          <w:numId w:val="1"/>
        </w:numPr>
        <w:spacing w:line="480" w:lineRule="auto"/>
        <w:rPr>
          <w:rFonts w:ascii="Garamond" w:hAnsi="Garamond"/>
          <w:sz w:val="24"/>
          <w:szCs w:val="24"/>
        </w:rPr>
      </w:pPr>
      <w:r>
        <w:rPr>
          <w:rFonts w:ascii="Garamond" w:hAnsi="Garamond"/>
          <w:sz w:val="24"/>
          <w:szCs w:val="24"/>
        </w:rPr>
        <w:t xml:space="preserve">Identify the necessary conditions at each step </w:t>
      </w:r>
    </w:p>
    <w:p w14:paraId="6A10FB3E" w14:textId="77777777" w:rsidR="0052311A" w:rsidRDefault="0052311A" w:rsidP="0052311A">
      <w:pPr>
        <w:pStyle w:val="ListParagraph"/>
        <w:numPr>
          <w:ilvl w:val="0"/>
          <w:numId w:val="1"/>
        </w:numPr>
        <w:spacing w:line="480" w:lineRule="auto"/>
        <w:rPr>
          <w:rFonts w:ascii="Garamond" w:hAnsi="Garamond"/>
          <w:sz w:val="24"/>
          <w:szCs w:val="24"/>
        </w:rPr>
      </w:pPr>
      <w:r>
        <w:rPr>
          <w:rFonts w:ascii="Garamond" w:hAnsi="Garamond"/>
          <w:sz w:val="24"/>
          <w:szCs w:val="24"/>
        </w:rPr>
        <w:t xml:space="preserve">What type of auxiliary indicators and instrumental tests arise given the competing theories? </w:t>
      </w:r>
    </w:p>
    <w:p w14:paraId="523E92A8" w14:textId="54430067" w:rsidR="0052311A" w:rsidRDefault="0052311A" w:rsidP="0052311A">
      <w:pPr>
        <w:pStyle w:val="ListParagraph"/>
        <w:numPr>
          <w:ilvl w:val="0"/>
          <w:numId w:val="1"/>
        </w:numPr>
        <w:spacing w:line="480" w:lineRule="auto"/>
        <w:rPr>
          <w:rFonts w:ascii="Garamond" w:hAnsi="Garamond"/>
          <w:sz w:val="24"/>
          <w:szCs w:val="24"/>
        </w:rPr>
      </w:pPr>
      <w:r>
        <w:rPr>
          <w:rFonts w:ascii="Garamond" w:hAnsi="Garamond"/>
          <w:sz w:val="24"/>
          <w:szCs w:val="24"/>
        </w:rPr>
        <w:t xml:space="preserve">How might you go about testing each step that would necessarily need to occur according to Lott’s argument? </w:t>
      </w:r>
    </w:p>
    <w:p w14:paraId="788BF293" w14:textId="7F23F648" w:rsidR="009A00BB" w:rsidRDefault="0052311A" w:rsidP="009A00BB">
      <w:pPr>
        <w:pStyle w:val="ListParagraph"/>
        <w:numPr>
          <w:ilvl w:val="0"/>
          <w:numId w:val="1"/>
        </w:numPr>
        <w:rPr>
          <w:rFonts w:ascii="Garamond" w:hAnsi="Garamond"/>
          <w:sz w:val="24"/>
          <w:szCs w:val="24"/>
        </w:rPr>
      </w:pPr>
      <w:r>
        <w:rPr>
          <w:rFonts w:ascii="Garamond" w:hAnsi="Garamond"/>
          <w:sz w:val="24"/>
          <w:szCs w:val="24"/>
        </w:rPr>
        <w:t xml:space="preserve">What evidence on hand speaks to the likelihood of each step? </w:t>
      </w:r>
    </w:p>
    <w:p w14:paraId="21AC17CD" w14:textId="00502215" w:rsidR="0052311A" w:rsidRDefault="0052311A" w:rsidP="009A00BB">
      <w:pPr>
        <w:pStyle w:val="ListParagraph"/>
        <w:numPr>
          <w:ilvl w:val="0"/>
          <w:numId w:val="1"/>
        </w:numPr>
        <w:rPr>
          <w:rFonts w:ascii="Garamond" w:hAnsi="Garamond"/>
          <w:sz w:val="24"/>
          <w:szCs w:val="24"/>
        </w:rPr>
      </w:pPr>
      <w:r>
        <w:rPr>
          <w:rFonts w:ascii="Garamond" w:hAnsi="Garamond"/>
          <w:sz w:val="24"/>
          <w:szCs w:val="24"/>
        </w:rPr>
        <w:t xml:space="preserve">How would you ascertain the ultimate validity of Lott’s theory? </w:t>
      </w:r>
    </w:p>
    <w:p w14:paraId="1D38271E" w14:textId="4E3FA02A" w:rsidR="0052311A" w:rsidRDefault="0052311A" w:rsidP="0052311A">
      <w:pPr>
        <w:rPr>
          <w:rFonts w:ascii="Garamond" w:hAnsi="Garamond"/>
          <w:sz w:val="24"/>
          <w:szCs w:val="24"/>
        </w:rPr>
      </w:pPr>
    </w:p>
    <w:p w14:paraId="12A7510A" w14:textId="1502F23E" w:rsidR="0052311A" w:rsidRDefault="0052311A" w:rsidP="0052311A">
      <w:pPr>
        <w:spacing w:line="480" w:lineRule="auto"/>
        <w:rPr>
          <w:rFonts w:ascii="Garamond" w:hAnsi="Garamond"/>
          <w:sz w:val="24"/>
          <w:szCs w:val="24"/>
        </w:rPr>
      </w:pPr>
      <w:r>
        <w:rPr>
          <w:rFonts w:ascii="Garamond" w:hAnsi="Garamond"/>
          <w:sz w:val="24"/>
          <w:szCs w:val="24"/>
        </w:rPr>
        <w:t xml:space="preserve">NOTE: For extra structure, be certain to look back at your notes on the steps necessary to engage in process tracing. </w:t>
      </w:r>
      <w:r>
        <w:rPr>
          <w:rFonts w:ascii="Garamond" w:hAnsi="Garamond"/>
          <w:sz w:val="24"/>
          <w:szCs w:val="24"/>
        </w:rPr>
        <w:t xml:space="preserve">Give special consideration to “sensitivity tests”, </w:t>
      </w:r>
      <w:proofErr w:type="gramStart"/>
      <w:r>
        <w:rPr>
          <w:rFonts w:ascii="Garamond" w:hAnsi="Garamond"/>
          <w:sz w:val="24"/>
          <w:szCs w:val="24"/>
        </w:rPr>
        <w:t>i.e.</w:t>
      </w:r>
      <w:proofErr w:type="gramEnd"/>
      <w:r>
        <w:rPr>
          <w:rFonts w:ascii="Garamond" w:hAnsi="Garamond"/>
          <w:sz w:val="24"/>
          <w:szCs w:val="24"/>
        </w:rPr>
        <w:t xml:space="preserve"> being explicit on the range of potential outcomes that reflect the maximum effect that might be reached at a given stage. </w:t>
      </w:r>
    </w:p>
    <w:p w14:paraId="2D13FF4E" w14:textId="73361173" w:rsidR="0052311A" w:rsidRDefault="0052311A" w:rsidP="0052311A">
      <w:pPr>
        <w:spacing w:line="480" w:lineRule="auto"/>
        <w:rPr>
          <w:rFonts w:ascii="Garamond" w:hAnsi="Garamond"/>
          <w:sz w:val="24"/>
          <w:szCs w:val="24"/>
        </w:rPr>
      </w:pPr>
    </w:p>
    <w:p w14:paraId="7C4858DE" w14:textId="7E8632A8" w:rsidR="0052311A" w:rsidRDefault="0052311A" w:rsidP="0052311A">
      <w:pPr>
        <w:spacing w:line="480" w:lineRule="auto"/>
        <w:rPr>
          <w:rFonts w:ascii="Garamond" w:hAnsi="Garamond"/>
          <w:sz w:val="24"/>
          <w:szCs w:val="24"/>
        </w:rPr>
      </w:pPr>
    </w:p>
    <w:p w14:paraId="3BC36A1E" w14:textId="25E1B496" w:rsidR="0052311A" w:rsidRDefault="0052311A" w:rsidP="0052311A">
      <w:pPr>
        <w:spacing w:line="480" w:lineRule="auto"/>
        <w:rPr>
          <w:rFonts w:ascii="Garamond" w:hAnsi="Garamond"/>
          <w:b/>
          <w:bCs/>
          <w:sz w:val="24"/>
          <w:szCs w:val="24"/>
        </w:rPr>
      </w:pPr>
      <w:r>
        <w:rPr>
          <w:rFonts w:ascii="Garamond" w:hAnsi="Garamond"/>
          <w:b/>
          <w:bCs/>
          <w:sz w:val="24"/>
          <w:szCs w:val="24"/>
        </w:rPr>
        <w:lastRenderedPageBreak/>
        <w:t xml:space="preserve">Evidence document 1: An excerpt of the analysis by John Lott </w:t>
      </w:r>
      <w:r w:rsidR="0055453D">
        <w:rPr>
          <w:rFonts w:ascii="Garamond" w:hAnsi="Garamond"/>
          <w:b/>
          <w:bCs/>
          <w:sz w:val="24"/>
          <w:szCs w:val="24"/>
        </w:rPr>
        <w:t>(with context provided)</w:t>
      </w:r>
    </w:p>
    <w:p w14:paraId="7FA563FA" w14:textId="72453345" w:rsidR="0052311A" w:rsidRPr="0052311A" w:rsidRDefault="0055453D" w:rsidP="0052311A">
      <w:pPr>
        <w:spacing w:line="480" w:lineRule="auto"/>
        <w:rPr>
          <w:rFonts w:ascii="Garamond" w:hAnsi="Garamond"/>
          <w:b/>
          <w:bCs/>
          <w:sz w:val="24"/>
          <w:szCs w:val="24"/>
        </w:rPr>
      </w:pPr>
      <w:r>
        <w:rPr>
          <w:rFonts w:ascii="Garamond" w:hAnsi="Garamond"/>
          <w:b/>
          <w:bCs/>
          <w:noProof/>
          <w:sz w:val="24"/>
          <w:szCs w:val="24"/>
        </w:rPr>
        <w:drawing>
          <wp:anchor distT="0" distB="0" distL="114300" distR="114300" simplePos="0" relativeHeight="251658240" behindDoc="0" locked="0" layoutInCell="1" allowOverlap="1" wp14:anchorId="63CCD068" wp14:editId="3007E670">
            <wp:simplePos x="0" y="0"/>
            <wp:positionH relativeFrom="column">
              <wp:posOffset>0</wp:posOffset>
            </wp:positionH>
            <wp:positionV relativeFrom="paragraph">
              <wp:posOffset>-2540</wp:posOffset>
            </wp:positionV>
            <wp:extent cx="5943600" cy="6077585"/>
            <wp:effectExtent l="0" t="0" r="0" b="0"/>
            <wp:wrapTopAndBottom/>
            <wp:docPr id="1" name="Picture 1" descr="A picture containing text, newspaper, screenshot,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newspaper, screenshot, documen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6077585"/>
                    </a:xfrm>
                    <a:prstGeom prst="rect">
                      <a:avLst/>
                    </a:prstGeom>
                  </pic:spPr>
                </pic:pic>
              </a:graphicData>
            </a:graphic>
            <wp14:sizeRelH relativeFrom="page">
              <wp14:pctWidth>0</wp14:pctWidth>
            </wp14:sizeRelH>
            <wp14:sizeRelV relativeFrom="page">
              <wp14:pctHeight>0</wp14:pctHeight>
            </wp14:sizeRelV>
          </wp:anchor>
        </w:drawing>
      </w:r>
    </w:p>
    <w:p w14:paraId="79F04C2D" w14:textId="77777777" w:rsidR="0052311A" w:rsidRPr="0052311A" w:rsidRDefault="0052311A" w:rsidP="0052311A">
      <w:pPr>
        <w:rPr>
          <w:rFonts w:ascii="Garamond" w:hAnsi="Garamond"/>
          <w:sz w:val="24"/>
          <w:szCs w:val="24"/>
        </w:rPr>
      </w:pPr>
    </w:p>
    <w:p w14:paraId="7755FA95" w14:textId="5ED99DA8" w:rsidR="00BD2BCC" w:rsidRDefault="00BD2BCC"/>
    <w:p w14:paraId="5D821497" w14:textId="625CC789" w:rsidR="0055453D" w:rsidRDefault="0055453D"/>
    <w:p w14:paraId="1C5FB514" w14:textId="1EB27FBB" w:rsidR="0055453D" w:rsidRDefault="0055453D"/>
    <w:p w14:paraId="40DAFD01" w14:textId="1FD451D1" w:rsidR="0055453D" w:rsidRDefault="0055453D">
      <w:pPr>
        <w:rPr>
          <w:b/>
          <w:bCs/>
        </w:rPr>
      </w:pPr>
      <w:r>
        <w:rPr>
          <w:b/>
          <w:bCs/>
        </w:rPr>
        <w:lastRenderedPageBreak/>
        <w:t>Evidence Document 2: Rationale of the principles behind Difference-in-difference tests, Columbia Public Health Stats department (</w:t>
      </w:r>
      <w:hyperlink r:id="rId8" w:history="1">
        <w:r w:rsidRPr="000B6FAC">
          <w:rPr>
            <w:rStyle w:val="Hyperlink"/>
            <w:b/>
            <w:bCs/>
          </w:rPr>
          <w:t>https://www.publichealth.columbia.edu/research/population-health-methods/difference-difference-estimation</w:t>
        </w:r>
      </w:hyperlink>
      <w:r>
        <w:rPr>
          <w:b/>
          <w:bCs/>
        </w:rPr>
        <w:t>)</w:t>
      </w:r>
    </w:p>
    <w:p w14:paraId="09C465AD" w14:textId="75446441" w:rsidR="0055453D" w:rsidRDefault="0055453D">
      <w:pPr>
        <w:rPr>
          <w:b/>
          <w:bCs/>
        </w:rPr>
      </w:pPr>
    </w:p>
    <w:p w14:paraId="5BC70D05" w14:textId="7C86C23C" w:rsidR="0055453D" w:rsidRDefault="0055453D">
      <w:pPr>
        <w:rPr>
          <w:b/>
          <w:bCs/>
        </w:rPr>
      </w:pPr>
      <w:r>
        <w:rPr>
          <w:b/>
          <w:bCs/>
          <w:noProof/>
        </w:rPr>
        <w:drawing>
          <wp:anchor distT="0" distB="0" distL="114300" distR="114300" simplePos="0" relativeHeight="251659264" behindDoc="0" locked="0" layoutInCell="1" allowOverlap="1" wp14:anchorId="3D7139BF" wp14:editId="3EDD7DC9">
            <wp:simplePos x="0" y="0"/>
            <wp:positionH relativeFrom="column">
              <wp:posOffset>0</wp:posOffset>
            </wp:positionH>
            <wp:positionV relativeFrom="paragraph">
              <wp:posOffset>-1905</wp:posOffset>
            </wp:positionV>
            <wp:extent cx="5943600" cy="4840605"/>
            <wp:effectExtent l="0" t="0" r="0" b="0"/>
            <wp:wrapTopAndBottom/>
            <wp:docPr id="2" name="Picture 2"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4840605"/>
                    </a:xfrm>
                    <a:prstGeom prst="rect">
                      <a:avLst/>
                    </a:prstGeom>
                  </pic:spPr>
                </pic:pic>
              </a:graphicData>
            </a:graphic>
            <wp14:sizeRelH relativeFrom="page">
              <wp14:pctWidth>0</wp14:pctWidth>
            </wp14:sizeRelH>
            <wp14:sizeRelV relativeFrom="page">
              <wp14:pctHeight>0</wp14:pctHeight>
            </wp14:sizeRelV>
          </wp:anchor>
        </w:drawing>
      </w:r>
      <w:r>
        <w:rPr>
          <w:b/>
          <w:bCs/>
        </w:rPr>
        <w:t xml:space="preserve">(Part 2 on assumptions on next page) </w:t>
      </w:r>
    </w:p>
    <w:p w14:paraId="3D2CEA2E" w14:textId="40A9834E" w:rsidR="0055453D" w:rsidRDefault="0055453D">
      <w:pPr>
        <w:rPr>
          <w:b/>
          <w:bCs/>
          <w:noProof/>
        </w:rPr>
      </w:pPr>
      <w:r>
        <w:rPr>
          <w:b/>
          <w:bCs/>
          <w:noProof/>
        </w:rPr>
        <w:lastRenderedPageBreak/>
        <w:drawing>
          <wp:inline distT="0" distB="0" distL="0" distR="0" wp14:anchorId="66593F78" wp14:editId="3AF3205B">
            <wp:extent cx="5943600" cy="6590665"/>
            <wp:effectExtent l="0" t="0" r="0" b="635"/>
            <wp:docPr id="3" name="Picture 3"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char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943600" cy="6590665"/>
                    </a:xfrm>
                    <a:prstGeom prst="rect">
                      <a:avLst/>
                    </a:prstGeom>
                  </pic:spPr>
                </pic:pic>
              </a:graphicData>
            </a:graphic>
          </wp:inline>
        </w:drawing>
      </w:r>
    </w:p>
    <w:p w14:paraId="421F2512" w14:textId="6EE33E9F" w:rsidR="0055453D" w:rsidRPr="0055453D" w:rsidRDefault="0055453D" w:rsidP="0055453D"/>
    <w:p w14:paraId="1EE64ECD" w14:textId="0469DDD3" w:rsidR="0055453D" w:rsidRPr="0055453D" w:rsidRDefault="0055453D" w:rsidP="0055453D"/>
    <w:p w14:paraId="6C6FA8D6" w14:textId="12AD1AFF" w:rsidR="0055453D" w:rsidRDefault="0055453D" w:rsidP="0055453D">
      <w:pPr>
        <w:rPr>
          <w:b/>
          <w:bCs/>
          <w:noProof/>
        </w:rPr>
      </w:pPr>
    </w:p>
    <w:p w14:paraId="15F168DA" w14:textId="69504038" w:rsidR="0055453D" w:rsidRDefault="0055453D" w:rsidP="0055453D"/>
    <w:p w14:paraId="46BC9A0E" w14:textId="12A52CAB" w:rsidR="0055453D" w:rsidRDefault="0055453D" w:rsidP="0055453D"/>
    <w:p w14:paraId="44D3B3EF" w14:textId="08AABA49" w:rsidR="00C12B41" w:rsidRDefault="00C12B41" w:rsidP="0055453D">
      <w:pPr>
        <w:rPr>
          <w:b/>
          <w:bCs/>
        </w:rPr>
      </w:pPr>
      <w:r>
        <w:rPr>
          <w:b/>
          <w:bCs/>
        </w:rPr>
        <w:lastRenderedPageBreak/>
        <w:t xml:space="preserve">Evidence Document 3: Excerpt on voters left in the queue </w:t>
      </w:r>
    </w:p>
    <w:p w14:paraId="06F17939" w14:textId="51EE7FF9" w:rsidR="00C12B41" w:rsidRDefault="00C12B41" w:rsidP="00D02F01">
      <w:pPr>
        <w:spacing w:line="360" w:lineRule="auto"/>
      </w:pPr>
      <w:r>
        <w:t xml:space="preserve">Network television called the election in favor of Democratic presidential candidate Al Gore at approximately 7:50 PM EST, 10 minutes before polls closed within the Florida panhandle at 7:00 PM CST. Florida election offices allowed election day in-person voting from 7:00 AM to 7:00 PM, local time. </w:t>
      </w:r>
      <w:r w:rsidR="00CF2B38">
        <w:t xml:space="preserve">In total, 303,000 voters cast their ballots on Election Day within the Florida panhandle. </w:t>
      </w:r>
      <w:r>
        <w:t xml:space="preserve">As per NBC interviews with county election officials within Florida panhandle counties, the County Election Director of Jackson County, FL, had this to say: </w:t>
      </w:r>
    </w:p>
    <w:p w14:paraId="0941A607" w14:textId="1770A1A9" w:rsidR="00D02F01" w:rsidRDefault="00C12B41" w:rsidP="00D02F01">
      <w:pPr>
        <w:spacing w:line="360" w:lineRule="auto"/>
      </w:pPr>
      <w:r>
        <w:t xml:space="preserve">“Well, I definitely encourage people to turn out to vote no matter who you think is going to win, so I guess that I’m not thrilled y’all in the media called the election before it was truly over. I don’t recall any voters coming </w:t>
      </w:r>
      <w:r w:rsidR="00D02F01">
        <w:t>in ten minutes before polls close, ‘</w:t>
      </w:r>
      <w:proofErr w:type="spellStart"/>
      <w:r w:rsidR="00D02F01">
        <w:t>cept</w:t>
      </w:r>
      <w:proofErr w:type="spellEnd"/>
      <w:r w:rsidR="00D02F01">
        <w:t xml:space="preserve"> for my sister back in ’96 since I told her that no one would be there.</w:t>
      </w:r>
      <w:r w:rsidR="00AA5BCD">
        <w:t xml:space="preserve"> Not the most fun thing waiting in line after all, as it’s not like you can watch television or anything like that. </w:t>
      </w:r>
      <w:r w:rsidR="00D02F01">
        <w:t xml:space="preserve"> That said, you never know till you know, you know.” </w:t>
      </w:r>
    </w:p>
    <w:p w14:paraId="18B9298F" w14:textId="5B570B54" w:rsidR="00C12B41" w:rsidRDefault="00D02F01" w:rsidP="00D02F01">
      <w:pPr>
        <w:spacing w:line="360" w:lineRule="auto"/>
      </w:pPr>
      <w:r>
        <w:t xml:space="preserve">Political scientist John Lott spearheaded the claims that up to 17,000 voters across the panhandle in favor of Bush refused to show up in tandem with a Cato Institute report. Studies are ongoing in identifying Bush loyalists who might not have showed up. </w:t>
      </w:r>
      <w:r w:rsidR="00C12B41">
        <w:t xml:space="preserve">  </w:t>
      </w:r>
    </w:p>
    <w:p w14:paraId="355A6C35" w14:textId="5F81DE66" w:rsidR="00D02F01" w:rsidRDefault="00D02F01" w:rsidP="00D02F01">
      <w:pPr>
        <w:pStyle w:val="ListParagraph"/>
        <w:numPr>
          <w:ilvl w:val="0"/>
          <w:numId w:val="3"/>
        </w:numPr>
        <w:spacing w:line="360" w:lineRule="auto"/>
      </w:pPr>
      <w:r>
        <w:t xml:space="preserve">NBC Report excerpt, Evening News </w:t>
      </w:r>
    </w:p>
    <w:p w14:paraId="143DDE54" w14:textId="353D712C" w:rsidR="00D02F01" w:rsidRDefault="00D02F01" w:rsidP="00D02F01">
      <w:pPr>
        <w:spacing w:line="360" w:lineRule="auto"/>
      </w:pPr>
    </w:p>
    <w:p w14:paraId="112B6A5F" w14:textId="499C79A1" w:rsidR="00D02F01" w:rsidRDefault="00D02F01" w:rsidP="00D02F01">
      <w:pPr>
        <w:spacing w:line="360" w:lineRule="auto"/>
      </w:pPr>
    </w:p>
    <w:p w14:paraId="12F2FB65" w14:textId="0EA3065F" w:rsidR="00D02F01" w:rsidRDefault="00D02F01" w:rsidP="00D02F01">
      <w:pPr>
        <w:spacing w:line="360" w:lineRule="auto"/>
      </w:pPr>
    </w:p>
    <w:p w14:paraId="1F38123A" w14:textId="451FF8E3" w:rsidR="00D02F01" w:rsidRDefault="00D02F01" w:rsidP="00D02F01">
      <w:pPr>
        <w:spacing w:line="360" w:lineRule="auto"/>
      </w:pPr>
    </w:p>
    <w:p w14:paraId="769BF0AE" w14:textId="576D49B5" w:rsidR="00D02F01" w:rsidRDefault="00D02F01" w:rsidP="00D02F01">
      <w:pPr>
        <w:spacing w:line="360" w:lineRule="auto"/>
      </w:pPr>
    </w:p>
    <w:p w14:paraId="16B18065" w14:textId="32975BCA" w:rsidR="00D02F01" w:rsidRDefault="00D02F01" w:rsidP="00D02F01">
      <w:pPr>
        <w:spacing w:line="360" w:lineRule="auto"/>
      </w:pPr>
    </w:p>
    <w:p w14:paraId="73A91797" w14:textId="38FAF970" w:rsidR="00D02F01" w:rsidRDefault="00D02F01" w:rsidP="00D02F01">
      <w:pPr>
        <w:spacing w:line="360" w:lineRule="auto"/>
      </w:pPr>
    </w:p>
    <w:p w14:paraId="0F4001A7" w14:textId="258C0D7B" w:rsidR="00D02F01" w:rsidRDefault="00D02F01" w:rsidP="00D02F01">
      <w:pPr>
        <w:spacing w:line="360" w:lineRule="auto"/>
      </w:pPr>
    </w:p>
    <w:p w14:paraId="08EDE8CD" w14:textId="2A08AE08" w:rsidR="00D02F01" w:rsidRDefault="00D02F01" w:rsidP="00D02F01">
      <w:pPr>
        <w:spacing w:line="360" w:lineRule="auto"/>
      </w:pPr>
    </w:p>
    <w:p w14:paraId="2A092D2B" w14:textId="3D16904E" w:rsidR="00D02F01" w:rsidRDefault="00D02F01" w:rsidP="00D02F01">
      <w:pPr>
        <w:spacing w:line="360" w:lineRule="auto"/>
      </w:pPr>
    </w:p>
    <w:p w14:paraId="25AAD754" w14:textId="261386F0" w:rsidR="00D02F01" w:rsidRDefault="00D02F01" w:rsidP="00D02F01">
      <w:pPr>
        <w:spacing w:line="360" w:lineRule="auto"/>
      </w:pPr>
    </w:p>
    <w:p w14:paraId="1B1640A5" w14:textId="3FBAB4E9" w:rsidR="00D02F01" w:rsidRDefault="00D02F01" w:rsidP="00D02F01">
      <w:pPr>
        <w:spacing w:line="360" w:lineRule="auto"/>
      </w:pPr>
    </w:p>
    <w:p w14:paraId="78BB269B" w14:textId="6A8CEA86" w:rsidR="00D02F01" w:rsidRDefault="00751BB4" w:rsidP="00D02F01">
      <w:pPr>
        <w:spacing w:line="360" w:lineRule="auto"/>
        <w:rPr>
          <w:b/>
          <w:bCs/>
        </w:rPr>
      </w:pPr>
      <w:r>
        <w:rPr>
          <w:b/>
          <w:bCs/>
        </w:rPr>
        <w:t>Evidence Document 4: Census Population Survey Voter supplement on times of voting, 1988 – 1996</w:t>
      </w:r>
    </w:p>
    <w:p w14:paraId="09BD2507" w14:textId="74F2873F" w:rsidR="00751BB4" w:rsidRPr="00751BB4" w:rsidRDefault="00751BB4" w:rsidP="00D02F01">
      <w:pPr>
        <w:spacing w:line="360" w:lineRule="auto"/>
        <w:rPr>
          <w:b/>
          <w:bCs/>
        </w:rPr>
      </w:pPr>
      <w:r>
        <w:rPr>
          <w:b/>
          <w:bCs/>
          <w:noProof/>
        </w:rPr>
        <w:drawing>
          <wp:inline distT="0" distB="0" distL="0" distR="0" wp14:anchorId="3E667372" wp14:editId="023DF519">
            <wp:extent cx="5943600" cy="836930"/>
            <wp:effectExtent l="0" t="0" r="0" b="1270"/>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943600" cy="836930"/>
                    </a:xfrm>
                    <a:prstGeom prst="rect">
                      <a:avLst/>
                    </a:prstGeom>
                  </pic:spPr>
                </pic:pic>
              </a:graphicData>
            </a:graphic>
          </wp:inline>
        </w:drawing>
      </w:r>
    </w:p>
    <w:p w14:paraId="38D79625" w14:textId="0E997462" w:rsidR="00C12B41" w:rsidRPr="00C12B41" w:rsidRDefault="00C12B41" w:rsidP="0055453D">
      <w:r>
        <w:rPr>
          <w:b/>
          <w:bCs/>
        </w:rPr>
        <w:t xml:space="preserve"> </w:t>
      </w:r>
    </w:p>
    <w:p w14:paraId="0F5CD90B" w14:textId="77777777" w:rsidR="00CF2B38" w:rsidRDefault="00CF2B38" w:rsidP="00CF2B38">
      <w:pPr>
        <w:rPr>
          <w:b/>
          <w:bCs/>
        </w:rPr>
      </w:pPr>
    </w:p>
    <w:p w14:paraId="133C4E6B" w14:textId="77777777" w:rsidR="00CF2B38" w:rsidRDefault="00CF2B38" w:rsidP="00CF2B38">
      <w:pPr>
        <w:rPr>
          <w:b/>
          <w:bCs/>
        </w:rPr>
      </w:pPr>
    </w:p>
    <w:p w14:paraId="0A2DF456" w14:textId="77777777" w:rsidR="00CF2B38" w:rsidRDefault="00CF2B38" w:rsidP="00CF2B38">
      <w:pPr>
        <w:rPr>
          <w:b/>
          <w:bCs/>
        </w:rPr>
      </w:pPr>
    </w:p>
    <w:p w14:paraId="367D7BB1" w14:textId="77777777" w:rsidR="00CF2B38" w:rsidRDefault="00CF2B38" w:rsidP="00CF2B38">
      <w:pPr>
        <w:rPr>
          <w:b/>
          <w:bCs/>
        </w:rPr>
      </w:pPr>
    </w:p>
    <w:p w14:paraId="7DD89914" w14:textId="77777777" w:rsidR="00CF2B38" w:rsidRDefault="00CF2B38" w:rsidP="00CF2B38">
      <w:pPr>
        <w:rPr>
          <w:b/>
          <w:bCs/>
        </w:rPr>
      </w:pPr>
    </w:p>
    <w:p w14:paraId="308DFD2B" w14:textId="77777777" w:rsidR="00CF2B38" w:rsidRDefault="00CF2B38" w:rsidP="00CF2B38">
      <w:pPr>
        <w:rPr>
          <w:b/>
          <w:bCs/>
        </w:rPr>
      </w:pPr>
    </w:p>
    <w:p w14:paraId="01290B57" w14:textId="77777777" w:rsidR="00CF2B38" w:rsidRDefault="00CF2B38" w:rsidP="00CF2B38">
      <w:pPr>
        <w:rPr>
          <w:b/>
          <w:bCs/>
        </w:rPr>
      </w:pPr>
    </w:p>
    <w:p w14:paraId="320C7514" w14:textId="77777777" w:rsidR="00CF2B38" w:rsidRDefault="00CF2B38" w:rsidP="00CF2B38">
      <w:pPr>
        <w:rPr>
          <w:b/>
          <w:bCs/>
        </w:rPr>
      </w:pPr>
    </w:p>
    <w:p w14:paraId="10280277" w14:textId="77777777" w:rsidR="00CF2B38" w:rsidRDefault="00CF2B38" w:rsidP="00CF2B38">
      <w:pPr>
        <w:rPr>
          <w:b/>
          <w:bCs/>
        </w:rPr>
      </w:pPr>
    </w:p>
    <w:p w14:paraId="37765748" w14:textId="77777777" w:rsidR="00CF2B38" w:rsidRDefault="00CF2B38" w:rsidP="00CF2B38">
      <w:pPr>
        <w:rPr>
          <w:b/>
          <w:bCs/>
        </w:rPr>
      </w:pPr>
    </w:p>
    <w:p w14:paraId="450A11E0" w14:textId="77777777" w:rsidR="00CF2B38" w:rsidRDefault="00CF2B38" w:rsidP="00CF2B38">
      <w:pPr>
        <w:rPr>
          <w:b/>
          <w:bCs/>
        </w:rPr>
      </w:pPr>
    </w:p>
    <w:p w14:paraId="2E9386D2" w14:textId="77777777" w:rsidR="00CF2B38" w:rsidRDefault="00CF2B38" w:rsidP="00CF2B38">
      <w:pPr>
        <w:rPr>
          <w:b/>
          <w:bCs/>
        </w:rPr>
      </w:pPr>
    </w:p>
    <w:p w14:paraId="0364ABD0" w14:textId="77777777" w:rsidR="00CF2B38" w:rsidRDefault="00CF2B38" w:rsidP="00CF2B38">
      <w:pPr>
        <w:rPr>
          <w:b/>
          <w:bCs/>
        </w:rPr>
      </w:pPr>
    </w:p>
    <w:p w14:paraId="0CFD2758" w14:textId="77777777" w:rsidR="00CF2B38" w:rsidRDefault="00CF2B38" w:rsidP="00CF2B38">
      <w:pPr>
        <w:rPr>
          <w:b/>
          <w:bCs/>
        </w:rPr>
      </w:pPr>
    </w:p>
    <w:p w14:paraId="7E8C28A6" w14:textId="77777777" w:rsidR="00CF2B38" w:rsidRDefault="00CF2B38" w:rsidP="00CF2B38">
      <w:pPr>
        <w:rPr>
          <w:b/>
          <w:bCs/>
        </w:rPr>
      </w:pPr>
    </w:p>
    <w:p w14:paraId="44CD13F0" w14:textId="77777777" w:rsidR="00CF2B38" w:rsidRDefault="00CF2B38" w:rsidP="00CF2B38">
      <w:pPr>
        <w:rPr>
          <w:b/>
          <w:bCs/>
        </w:rPr>
      </w:pPr>
    </w:p>
    <w:p w14:paraId="55A3C1A7" w14:textId="77777777" w:rsidR="00CF2B38" w:rsidRDefault="00CF2B38" w:rsidP="00CF2B38">
      <w:pPr>
        <w:rPr>
          <w:b/>
          <w:bCs/>
        </w:rPr>
      </w:pPr>
    </w:p>
    <w:p w14:paraId="38AB1BFA" w14:textId="77777777" w:rsidR="00CF2B38" w:rsidRDefault="00CF2B38" w:rsidP="00CF2B38">
      <w:pPr>
        <w:rPr>
          <w:b/>
          <w:bCs/>
        </w:rPr>
      </w:pPr>
    </w:p>
    <w:p w14:paraId="6ACB059B" w14:textId="77777777" w:rsidR="00CF2B38" w:rsidRDefault="00CF2B38" w:rsidP="00CF2B38">
      <w:pPr>
        <w:rPr>
          <w:b/>
          <w:bCs/>
        </w:rPr>
      </w:pPr>
    </w:p>
    <w:p w14:paraId="4EAFD5C1" w14:textId="77777777" w:rsidR="00CF2B38" w:rsidRDefault="00CF2B38" w:rsidP="00CF2B38">
      <w:pPr>
        <w:rPr>
          <w:b/>
          <w:bCs/>
        </w:rPr>
      </w:pPr>
    </w:p>
    <w:p w14:paraId="77C9EC59" w14:textId="1DB0022C" w:rsidR="00CF2B38" w:rsidRDefault="00CF2B38" w:rsidP="00CF2B38">
      <w:pPr>
        <w:rPr>
          <w:b/>
          <w:bCs/>
        </w:rPr>
      </w:pPr>
      <w:r w:rsidRPr="00CF2B38">
        <w:rPr>
          <w:b/>
          <w:bCs/>
        </w:rPr>
        <w:lastRenderedPageBreak/>
        <w:t xml:space="preserve">Evidence Document 5: Republican Vote Share in Last Two Presidential Elections </w:t>
      </w:r>
    </w:p>
    <w:p w14:paraId="0450180C" w14:textId="0FB73178" w:rsidR="008E3FA8" w:rsidRDefault="008E3FA8" w:rsidP="00CF2B38">
      <w:pPr>
        <w:rPr>
          <w:b/>
          <w:bCs/>
        </w:rPr>
      </w:pPr>
    </w:p>
    <w:p w14:paraId="01F18969" w14:textId="3D6BE18C" w:rsidR="008E3FA8" w:rsidRDefault="008E3FA8" w:rsidP="00CF2B38">
      <w:pPr>
        <w:rPr>
          <w:b/>
          <w:bCs/>
        </w:rPr>
      </w:pPr>
      <w:r>
        <w:rPr>
          <w:b/>
          <w:bCs/>
          <w:noProof/>
        </w:rPr>
        <w:drawing>
          <wp:inline distT="0" distB="0" distL="0" distR="0" wp14:anchorId="6EB8930B" wp14:editId="16D16BA1">
            <wp:extent cx="3657600" cy="7315200"/>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57600" cy="7315200"/>
                    </a:xfrm>
                    <a:prstGeom prst="rect">
                      <a:avLst/>
                    </a:prstGeom>
                  </pic:spPr>
                </pic:pic>
              </a:graphicData>
            </a:graphic>
          </wp:inline>
        </w:drawing>
      </w:r>
    </w:p>
    <w:p w14:paraId="74550FDC" w14:textId="77777777" w:rsidR="008E3FA8" w:rsidRDefault="008E3FA8">
      <w:pPr>
        <w:rPr>
          <w:b/>
          <w:bCs/>
        </w:rPr>
      </w:pPr>
      <w:r>
        <w:rPr>
          <w:b/>
          <w:bCs/>
        </w:rPr>
        <w:br w:type="page"/>
      </w:r>
    </w:p>
    <w:p w14:paraId="7BBA7F7F" w14:textId="4DFD1748" w:rsidR="00CF2B38" w:rsidRPr="008E3FA8" w:rsidRDefault="008E3FA8" w:rsidP="0055453D">
      <w:pPr>
        <w:rPr>
          <w:b/>
          <w:bCs/>
          <w:noProof/>
        </w:rPr>
      </w:pPr>
      <w:r w:rsidRPr="008E3FA8">
        <w:rPr>
          <w:b/>
          <w:bCs/>
          <w:noProof/>
        </w:rPr>
        <w:lastRenderedPageBreak/>
        <w:t xml:space="preserve">Evidence Document 6: Prior Studies on Media Effects in Decreasing Turnout </w:t>
      </w:r>
    </w:p>
    <w:p w14:paraId="01730F55" w14:textId="52807D87" w:rsidR="008E3FA8" w:rsidRDefault="008E3FA8" w:rsidP="0055453D">
      <w:pPr>
        <w:rPr>
          <w:noProof/>
        </w:rPr>
      </w:pPr>
      <w:r>
        <w:rPr>
          <w:noProof/>
        </w:rPr>
        <w:drawing>
          <wp:inline distT="0" distB="0" distL="0" distR="0" wp14:anchorId="23CCC640" wp14:editId="6FC7792C">
            <wp:extent cx="5943600" cy="5637530"/>
            <wp:effectExtent l="0" t="0" r="0" b="1270"/>
            <wp:docPr id="6" name="Picture 6"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ext, letter&#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943600" cy="5637530"/>
                    </a:xfrm>
                    <a:prstGeom prst="rect">
                      <a:avLst/>
                    </a:prstGeom>
                  </pic:spPr>
                </pic:pic>
              </a:graphicData>
            </a:graphic>
          </wp:inline>
        </w:drawing>
      </w:r>
    </w:p>
    <w:p w14:paraId="265C774A" w14:textId="3E72F9BC" w:rsidR="008E3FA8" w:rsidRDefault="008E3FA8" w:rsidP="008E3FA8">
      <w:pPr>
        <w:rPr>
          <w:noProof/>
        </w:rPr>
      </w:pPr>
    </w:p>
    <w:p w14:paraId="5BE37777" w14:textId="741D28B8" w:rsidR="008E3FA8" w:rsidRPr="008E3FA8" w:rsidRDefault="008E3FA8" w:rsidP="008E3FA8">
      <w:pPr>
        <w:tabs>
          <w:tab w:val="left" w:pos="2316"/>
        </w:tabs>
      </w:pPr>
      <w:r>
        <w:t xml:space="preserve">Addendum: The document is part of an appendix to a CNN report on improving election night calls. </w:t>
      </w:r>
      <w:proofErr w:type="gramStart"/>
      <w:r>
        <w:t>The  report</w:t>
      </w:r>
      <w:proofErr w:type="gramEnd"/>
      <w:r>
        <w:t xml:space="preserve"> later estimates a height of 20 percent of adult viewers watching election night coverage during the late 1990s and early 2000s. </w:t>
      </w:r>
    </w:p>
    <w:sectPr w:rsidR="008E3FA8" w:rsidRPr="008E3FA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C880FE" w14:textId="77777777" w:rsidR="00372AFD" w:rsidRDefault="00372AFD" w:rsidP="0055453D">
      <w:pPr>
        <w:spacing w:after="0" w:line="240" w:lineRule="auto"/>
      </w:pPr>
      <w:r>
        <w:separator/>
      </w:r>
    </w:p>
  </w:endnote>
  <w:endnote w:type="continuationSeparator" w:id="0">
    <w:p w14:paraId="25AB7B87" w14:textId="77777777" w:rsidR="00372AFD" w:rsidRDefault="00372AFD" w:rsidP="00554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76425" w14:textId="77777777" w:rsidR="00372AFD" w:rsidRDefault="00372AFD" w:rsidP="0055453D">
      <w:pPr>
        <w:spacing w:after="0" w:line="240" w:lineRule="auto"/>
      </w:pPr>
      <w:r>
        <w:separator/>
      </w:r>
    </w:p>
  </w:footnote>
  <w:footnote w:type="continuationSeparator" w:id="0">
    <w:p w14:paraId="42D6F959" w14:textId="77777777" w:rsidR="00372AFD" w:rsidRDefault="00372AFD" w:rsidP="0055453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315EE"/>
    <w:multiLevelType w:val="hybridMultilevel"/>
    <w:tmpl w:val="A6126F8C"/>
    <w:lvl w:ilvl="0" w:tplc="0C8836F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917724C"/>
    <w:multiLevelType w:val="hybridMultilevel"/>
    <w:tmpl w:val="BAC49F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292FEA"/>
    <w:multiLevelType w:val="hybridMultilevel"/>
    <w:tmpl w:val="CDF837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0BB"/>
    <w:rsid w:val="00372AFD"/>
    <w:rsid w:val="0052311A"/>
    <w:rsid w:val="0055453D"/>
    <w:rsid w:val="00751BB4"/>
    <w:rsid w:val="008E3FA8"/>
    <w:rsid w:val="009A00BB"/>
    <w:rsid w:val="00AA5BCD"/>
    <w:rsid w:val="00BD2BCC"/>
    <w:rsid w:val="00C12B41"/>
    <w:rsid w:val="00CF2B38"/>
    <w:rsid w:val="00D02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2E148"/>
  <w15:chartTrackingRefBased/>
  <w15:docId w15:val="{1E63C403-CC44-4126-8A15-AF8E635E2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0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00BB"/>
    <w:pPr>
      <w:ind w:left="720"/>
      <w:contextualSpacing/>
    </w:pPr>
  </w:style>
  <w:style w:type="character" w:styleId="Hyperlink">
    <w:name w:val="Hyperlink"/>
    <w:basedOn w:val="DefaultParagraphFont"/>
    <w:uiPriority w:val="99"/>
    <w:unhideWhenUsed/>
    <w:rsid w:val="0055453D"/>
    <w:rPr>
      <w:color w:val="0563C1" w:themeColor="hyperlink"/>
      <w:u w:val="single"/>
    </w:rPr>
  </w:style>
  <w:style w:type="character" w:styleId="UnresolvedMention">
    <w:name w:val="Unresolved Mention"/>
    <w:basedOn w:val="DefaultParagraphFont"/>
    <w:uiPriority w:val="99"/>
    <w:semiHidden/>
    <w:unhideWhenUsed/>
    <w:rsid w:val="0055453D"/>
    <w:rPr>
      <w:color w:val="605E5C"/>
      <w:shd w:val="clear" w:color="auto" w:fill="E1DFDD"/>
    </w:rPr>
  </w:style>
  <w:style w:type="paragraph" w:styleId="Header">
    <w:name w:val="header"/>
    <w:basedOn w:val="Normal"/>
    <w:link w:val="HeaderChar"/>
    <w:uiPriority w:val="99"/>
    <w:unhideWhenUsed/>
    <w:rsid w:val="005545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53D"/>
  </w:style>
  <w:style w:type="paragraph" w:styleId="Footer">
    <w:name w:val="footer"/>
    <w:basedOn w:val="Normal"/>
    <w:link w:val="FooterChar"/>
    <w:uiPriority w:val="99"/>
    <w:unhideWhenUsed/>
    <w:rsid w:val="005545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5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ublichealth.columbia.edu/research/population-health-methods/difference-difference-estimation" TargetMode="External"/><Relationship Id="rId13" Type="http://schemas.openxmlformats.org/officeDocument/2006/relationships/image" Target="media/image6.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342</TotalTime>
  <Pages>8</Pages>
  <Words>632</Words>
  <Characters>3603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Curiel</dc:creator>
  <cp:keywords/>
  <dc:description/>
  <cp:lastModifiedBy>John Curiel</cp:lastModifiedBy>
  <cp:revision>4</cp:revision>
  <dcterms:created xsi:type="dcterms:W3CDTF">2021-10-26T19:22:00Z</dcterms:created>
  <dcterms:modified xsi:type="dcterms:W3CDTF">2021-10-27T01:06:00Z</dcterms:modified>
</cp:coreProperties>
</file>